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none"/>
          <w:lang w:eastAsia="zh-CN"/>
        </w:rPr>
        <w:t>平顶山市亚福安商贸有限公司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none"/>
          <w:lang w:val="en-US" w:eastAsia="zh-CN"/>
        </w:rPr>
        <w:t>未按规定上报事故隐患排查治理统计分析表案</w:t>
      </w:r>
    </w:p>
    <w:tbl>
      <w:tblPr>
        <w:tblStyle w:val="3"/>
        <w:tblW w:w="8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0"/>
        <w:gridCol w:w="6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lang w:eastAsia="zh-CN"/>
              </w:rPr>
              <w:t>平顶山市亚福安商贸有限公司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75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lang w:val="en-US" w:eastAsia="zh-CN"/>
              </w:rPr>
              <w:t>91410404MA9FG86399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lang w:eastAsia="zh-CN"/>
              </w:rPr>
              <w:t>程亚峰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河南省平顶山市石龙区兴龙路12号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行政处罚种类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lang w:eastAsia="zh-CN"/>
              </w:rPr>
              <w:t>平龙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  <w:t>）应急罚〔202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  <w:t>〕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行政执法人员（执法证号）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960" w:firstLineChars="4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u w:val="none"/>
                <w:shd w:val="clear" w:fill="FCFC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u w:val="none"/>
                <w:shd w:val="clear" w:fill="FCFCFC"/>
                <w:lang w:val="en-US" w:eastAsia="zh-CN" w:bidi="ar"/>
              </w:rPr>
              <w:t>郑自勋（410404000052）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 w:firstLine="960" w:firstLineChars="4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u w:val="none"/>
                <w:shd w:val="clear" w:fill="FCFCFC"/>
                <w:lang w:val="en-US" w:eastAsia="zh-CN" w:bidi="ar"/>
              </w:rPr>
              <w:t>王红甫（410404000055）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lang w:val="en-US" w:eastAsia="zh-CN"/>
              </w:rPr>
              <w:t>2022年8月25日，异地执法督导组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在对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lang w:eastAsia="zh-CN"/>
              </w:rPr>
              <w:t>平顶山市亚福安商贸有限公司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进行监督检查时，发现该公司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未按规定上报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lang w:eastAsia="zh-CN"/>
              </w:rPr>
              <w:t>第二季度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事故隐患排查治理统计分析表。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lang w:eastAsia="zh-CN"/>
              </w:rPr>
              <w:t>证明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lang w:eastAsia="zh-CN"/>
              </w:rPr>
              <w:t>平顶山市亚福安商贸有限公司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未按规定上报事故隐患排查治理统计分析表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主要证据材料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证据一：现场检查记录、责令限期整改指令书。证据二：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lang w:eastAsia="zh-CN"/>
              </w:rPr>
              <w:t>平顶山市亚福安商贸有限公司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lang w:eastAsia="zh-CN"/>
              </w:rPr>
              <w:t>总经理程亚峰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的询问笔录。证据三：当日影像资料照片。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  <w:t>违反了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《安全生产事故隐患排查治理暂行规定》第十四条第一款，生产经营单位应当每季、每年对本单位事故隐患排查治理情况进行统计分析，并分别于下一季度15日前和下一年1月31日前向安全监管监察部门和有关部门报送书面统计分析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规定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lang w:eastAsia="zh-CN"/>
              </w:rPr>
              <w:t>，依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据《安全生产事故隐患排查治理暂行规定》第二十六条第二项，生产经营单位未按规定上报事故隐患排查治理统计分析表的，由安全监管监察部门给予警告，并处三万元以下的罚款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</w:rPr>
              <w:t>的规定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适用裁量标准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陈述申辩或听证情况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法制审核情况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eastAsia="zh-CN"/>
              </w:rPr>
              <w:t>适用法律正确、裁量适当、事实清楚、程序合法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集体讨论情况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3"/>
                <w:sz w:val="24"/>
                <w:szCs w:val="24"/>
                <w:u w:val="none"/>
              </w:rPr>
              <w:t>行政处罚案件案审会合议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，全部同意给予处罚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处罚内容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警告，并处人民币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lang w:eastAsia="zh-CN"/>
              </w:rPr>
              <w:t>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lang w:eastAsia="zh-CN"/>
              </w:rPr>
              <w:t>壹仟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lang w:eastAsia="zh-CN"/>
              </w:rPr>
              <w:t>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罚款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2022年9月9日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行政处罚机关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石龙区应急管理局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bidi w:val="0"/>
        <w:ind w:firstLine="366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zhiM2ViYWYzM2RhOTU5ODBiMmM4MTkxMjQxYWYifQ=="/>
  </w:docVars>
  <w:rsids>
    <w:rsidRoot w:val="00000000"/>
    <w:rsid w:val="2DD0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2022-09-13T00:52:25Z</dcterms:created>
  <dc:creator>Administrator</dc:creator>
  <cp:lastModifiedBy>真心呵护   爱明天</cp:lastModifiedBy>
  <dcterms:modified xsi:type="dcterms:W3CDTF">2022-09-13T01:00:21Z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23DE3F23F14145C89EBE89E861814930</vt:lpwstr>
  </property>
</Properties>
</file>