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rPr>
          <w:rFonts w:hint="eastAsia" w:ascii="黑体" w:hAnsi="黑体" w:eastAsia="黑体"/>
          <w:kern w:val="0"/>
          <w:sz w:val="32"/>
          <w:lang w:eastAsia="zh-CN"/>
        </w:rPr>
      </w:pPr>
      <w:r>
        <w:rPr>
          <w:rFonts w:hint="eastAsia" w:ascii="黑体" w:hAnsi="黑体" w:eastAsia="黑体"/>
          <w:kern w:val="0"/>
          <w:sz w:val="32"/>
          <w:lang w:eastAsia="zh-CN"/>
        </w:rPr>
        <w:t>预算绩效工作开展情况说明</w:t>
      </w:r>
    </w:p>
    <w:p>
      <w:pPr>
        <w:ind w:firstLine="643"/>
        <w:jc w:val="center"/>
        <w:rPr>
          <w:rFonts w:hint="eastAsia" w:ascii="黑体" w:hAnsi="黑体" w:eastAsia="黑体"/>
          <w:kern w:val="0"/>
          <w:sz w:val="32"/>
          <w:lang w:eastAsia="zh-CN"/>
        </w:rPr>
      </w:pPr>
      <w:bookmarkStart w:id="0" w:name="_GoBack"/>
      <w:bookmarkEnd w:id="0"/>
    </w:p>
    <w:p>
      <w:pPr>
        <w:pStyle w:val="2"/>
        <w:shd w:val="clear" w:color="auto" w:fill="FFFFFF"/>
        <w:spacing w:line="560" w:lineRule="exact"/>
        <w:ind w:firstLine="643"/>
        <w:jc w:val="both"/>
        <w:rPr>
          <w:rFonts w:hint="eastAsia" w:ascii="仿宋_GB2312" w:eastAsia="仿宋_GB2312"/>
          <w:sz w:val="28"/>
          <w:szCs w:val="28"/>
        </w:rPr>
      </w:pPr>
      <w:r>
        <w:rPr>
          <w:rFonts w:hint="eastAsia" w:ascii="仿宋_GB2312" w:hAnsi="仿宋_GB2312" w:eastAsia="仿宋_GB2312" w:cs="仿宋_GB2312"/>
          <w:sz w:val="32"/>
          <w:szCs w:val="32"/>
        </w:rPr>
        <w:t>2016年，财政部门认真学习贯彻《预算法》，负重爬坡不松劲，精准发力不偏移，扎实有效推进新常态下财政各项工作，全区财政运行保持总体平稳，较好地服务了全区经济社会持续协调发展。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sz w:val="32"/>
          <w:szCs w:val="32"/>
        </w:rPr>
        <w:t xml:space="preserve"> 坚持勤征细管，财政实力实现新突破。牢牢把握稳中求进总基调，始终把促进财政增收作为第一要务来抓，积极培植财源，狠抓收入征管，努力向上争资，财政收入实现平稳增长，地方一般公共预算收入完成20790万元，同比增长4.5%。一是抓财源强后劲。</w:t>
      </w:r>
      <w:r>
        <w:rPr>
          <w:rFonts w:hint="eastAsia" w:ascii="仿宋_GB2312" w:eastAsia="仿宋_GB2312"/>
          <w:sz w:val="32"/>
          <w:szCs w:val="32"/>
        </w:rPr>
        <w:t>认真履行财政促进经济发展职能，做好重点企业服务工作，</w:t>
      </w:r>
      <w:r>
        <w:rPr>
          <w:rFonts w:hint="eastAsia" w:ascii="仿宋_GB2312" w:hAnsi="仿宋_GB2312" w:eastAsia="仿宋_GB2312" w:cs="仿宋_GB2312"/>
          <w:sz w:val="32"/>
          <w:szCs w:val="32"/>
        </w:rPr>
        <w:t>扶持企业“爬坡、过坎、转型、过冬”</w:t>
      </w:r>
      <w:r>
        <w:rPr>
          <w:rFonts w:hint="eastAsia" w:ascii="仿宋_GB2312" w:eastAsia="仿宋_GB2312"/>
          <w:sz w:val="32"/>
          <w:szCs w:val="32"/>
        </w:rPr>
        <w:t>，重点支持企业节能减排、自主创新和技术改造,增强了企业竞争能力和抵御风险能力</w:t>
      </w:r>
      <w:r>
        <w:rPr>
          <w:rFonts w:hint="eastAsia" w:ascii="仿宋_GB2312" w:eastAsia="仿宋_GB2312"/>
          <w:spacing w:val="4"/>
          <w:sz w:val="32"/>
          <w:szCs w:val="32"/>
        </w:rPr>
        <w:t>；积极落实招商引资优惠政策，促进了产业集聚区的快速发展，增强了区域经济综合实力和发展后劲</w:t>
      </w:r>
      <w:r>
        <w:rPr>
          <w:rFonts w:hint="eastAsia" w:ascii="仿宋_GB2312" w:eastAsia="仿宋_GB2312"/>
          <w:sz w:val="32"/>
          <w:szCs w:val="32"/>
        </w:rPr>
        <w:t>。</w:t>
      </w:r>
      <w:r>
        <w:rPr>
          <w:rFonts w:hint="eastAsia" w:ascii="仿宋_GB2312" w:hAnsi="仿宋_GB2312" w:eastAsia="仿宋_GB2312" w:cs="仿宋_GB2312"/>
          <w:sz w:val="32"/>
          <w:szCs w:val="32"/>
        </w:rPr>
        <w:t>二是抓征管夯实力。积极应对经济下行和“营改增”减收双重压力，</w:t>
      </w:r>
      <w:r>
        <w:rPr>
          <w:rFonts w:hint="eastAsia" w:ascii="仿宋_GB2312" w:hAnsi="仿宋_GB2312" w:eastAsia="仿宋_GB2312" w:cs="仿宋_GB2312"/>
          <w:color w:val="000000"/>
          <w:sz w:val="32"/>
          <w:szCs w:val="32"/>
        </w:rPr>
        <w:t>紧盯收入目标，采取有效措施，大力督促收入计划执行。</w:t>
      </w:r>
      <w:r>
        <w:rPr>
          <w:rFonts w:hint="eastAsia" w:ascii="仿宋_GB2312" w:hAnsi="仿宋_GB2312" w:eastAsia="仿宋_GB2312" w:cs="仿宋_GB2312"/>
          <w:sz w:val="32"/>
          <w:szCs w:val="32"/>
        </w:rPr>
        <w:t>认真落实《关于加强综合治税工作的意见》，坚持财税分析会议制度，建立健全税收分析、评估、管理、稽查、协调等机制，着力抓好税源监控，科学分析税源变化，提高税收征管效率；规范非税收入管理，抓好常量收入同时，加大土地出让、国有资产处置等收入征管力度，挖掘非税收入潜力，确保非税收入及时足额入库。三是抓争资促发展。</w:t>
      </w:r>
      <w:r>
        <w:rPr>
          <w:rFonts w:hint="eastAsia" w:ascii="仿宋_GB2312" w:hAnsi="仿宋_GB2312" w:eastAsia="仿宋_GB2312" w:cs="仿宋_GB2312"/>
          <w:color w:val="000000"/>
          <w:sz w:val="32"/>
          <w:szCs w:val="32"/>
          <w:shd w:val="clear" w:color="auto" w:fill="FFFFFF"/>
        </w:rPr>
        <w:t>把握政策时效，立足我区实际，</w:t>
      </w:r>
      <w:r>
        <w:rPr>
          <w:rFonts w:hint="eastAsia" w:ascii="仿宋_GB2312" w:hAnsi="仿宋_GB2312" w:eastAsia="仿宋_GB2312" w:cs="仿宋_GB2312"/>
          <w:sz w:val="32"/>
          <w:szCs w:val="32"/>
        </w:rPr>
        <w:t>全力以赴向上争资立项。完善争资奖补激励机制，兑现争资工作经费63.3万元，充分调动部门争资积极性。全年积极争取到位补助资金10917万元、增长101.2%，争取到位政府债券资金19755万元、增长171.4%，切实增强财政保障和服务经济社会发展能力。</w:t>
      </w:r>
    </w:p>
    <w:p>
      <w:pPr>
        <w:spacing w:line="560" w:lineRule="exact"/>
        <w:ind w:firstLine="640" w:firstLineChars="200"/>
        <w:rPr>
          <w:rFonts w:hint="eastAsia" w:ascii="仿宋_GB2312" w:hAnsi="仿宋_GB2312" w:eastAsia="仿宋_GB2312"/>
          <w:spacing w:val="4"/>
          <w:kern w:val="0"/>
          <w:sz w:val="32"/>
          <w:szCs w:val="32"/>
        </w:rPr>
      </w:pPr>
      <w:r>
        <w:rPr>
          <w:rFonts w:hint="eastAsia" w:ascii="仿宋_GB2312" w:hAnsi="仿宋_GB2312" w:eastAsia="仿宋_GB2312" w:cs="仿宋_GB2312"/>
          <w:sz w:val="32"/>
          <w:szCs w:val="32"/>
        </w:rPr>
        <w:t>2.坚持保障重点，助力经济呈现新活力。充分发挥财政推动经济的积极作用，认真落实积极财政政策，加大财政投入，促进经济平稳较快发展。一是</w:t>
      </w:r>
      <w:r>
        <w:rPr>
          <w:rFonts w:hint="eastAsia" w:ascii="仿宋_GB2312" w:hAnsi="仿宋_GB2312" w:eastAsia="仿宋_GB2312"/>
          <w:spacing w:val="4"/>
          <w:kern w:val="0"/>
          <w:sz w:val="32"/>
          <w:szCs w:val="32"/>
        </w:rPr>
        <w:t>支持重点项目建设。安排资金19839万元，重点用于支持独立工矿区改造搬迁项目建设，为项目顺利推进提供强力资金保障；安排资金1194万元，用于快速通道连接线、明德路南延至马道口等重点道路建设；安排资金1345万元用于支付快速通道贷款利息及限高架建设。二是支持供给侧结构性改革。发挥宏观经济调控职能，落实积极的财政政策，着力提高供给的针对性、有效性。全面落实“营改增”等减税降费优惠政策，减轻企业负担；安排奖补资金600万元，支持加快淘汰煤炭落后产能。三是支持精准脱贫攻坚。加大财政投入，加强资金整合，积极助推贫困村整村脱贫。拨付资金550万元专项用于7个整村推进项目建设，助力整村脱贫；注重发挥金融扶贫职能，安排互助项目资金300万元，每个贫困村注入资金30万元作为担保资金，通过区信用联社将资金放大3倍，使每个贫困村能够获得90万元的信贷配给，基本保证贫困户发展生产贷款需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3.坚持惠及民生，保障水平得到新提升。调整优化支出结构，加大社会事业投入，着力保障和改善民生，财政累计投入民生领域资金40718万元，占一般公共预算支出的79%。</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hAnsi="仿宋_GB2312" w:eastAsia="仿宋_GB2312" w:cs="仿宋_GB2312"/>
          <w:sz w:val="32"/>
          <w:szCs w:val="32"/>
        </w:rPr>
        <w:t>一是支持教育事业优先发展。全年</w:t>
      </w:r>
      <w:r>
        <w:rPr>
          <w:rFonts w:hint="eastAsia" w:ascii="仿宋_GB2312" w:hAnsi="仿宋_GB2312" w:eastAsia="仿宋_GB2312"/>
          <w:spacing w:val="4"/>
          <w:kern w:val="0"/>
          <w:sz w:val="32"/>
          <w:szCs w:val="32"/>
        </w:rPr>
        <w:t>预算内教育拨款8952万元，增长14%，高于经常性财政收入增长。在财政资金异常紧张的情况下，积极筹措资金安排教师工资，全年教师工资全部按照标准及时足额拨付到位。积极落实上级各项惠教政策，落实义务教育阶段“两免一补”资金443万元，落实高中阶段贫困生资助资金6万元。落实</w:t>
      </w:r>
      <w:r>
        <w:rPr>
          <w:rFonts w:hint="eastAsia" w:ascii="仿宋_GB2312" w:hAnsi="仿宋_GB2312" w:eastAsia="仿宋_GB2312" w:cs="仿宋_GB2312"/>
          <w:sz w:val="32"/>
          <w:szCs w:val="32"/>
        </w:rPr>
        <w:t>资金5330万元用于保障教育均衡发展和教育基础设施等重点项目建设；落实资金38万元用于建档立卡及“营养改善”计划。二是推进公共卫生体系建设。筹集资金2190万元支持城乡居民基本医疗保险；推动医疗卫生体制改革，筹集资金111万元实施基本药物制度及药物零差率销售和老年乡村医生生活补助等；筹集资金  万元用于因病致贫建卡贫困户民政医疗救助。三是支持社会保障体系建设。拨付社会救助及社会福利资金113万元，重点用于自然灾害、困难群众、流浪乞讨、孤幼儿等生活补助；</w:t>
      </w:r>
      <w:r>
        <w:rPr>
          <w:rFonts w:hint="eastAsia" w:ascii="仿宋_GB2312" w:hAnsi="仿宋_GB2312" w:eastAsia="仿宋_GB2312"/>
          <w:spacing w:val="4"/>
          <w:kern w:val="0"/>
          <w:sz w:val="32"/>
          <w:szCs w:val="32"/>
        </w:rPr>
        <w:t>全面提高城乡低保标准和补助水平，落实保障资金432万元；农村低保标准由每人每月  元提高到  元，落实保障资金138万元；落实商贸公司、五七矿、青石岭水泥厂等企业人员各类补助资金417万元；落实再就业资金120万元，积极推进下岗失业人员再就业。</w:t>
      </w:r>
      <w:r>
        <w:rPr>
          <w:rFonts w:hint="eastAsia" w:ascii="仿宋_GB2312" w:hAnsi="仿宋_GB2312" w:eastAsia="仿宋_GB2312" w:cs="仿宋_GB2312"/>
          <w:sz w:val="32"/>
          <w:szCs w:val="32"/>
        </w:rPr>
        <w:t>四是支持公共文化事业建设。加大文化体育投入，推进文化体育建设；加大科技创新支持力度，落实资金560万元用于科普、技术研究与开发等方面的扶持; 全面落实“三馆一站”免费开放政策，支持群众文化、全民健身、农村放映及新闻宣传等事业发展，公共文化体育服务功能不断增强。</w:t>
      </w:r>
      <w:r>
        <w:rPr>
          <w:rFonts w:hint="eastAsia" w:ascii="仿宋_GB2312" w:eastAsia="仿宋_GB2312"/>
          <w:color w:val="000000"/>
          <w:sz w:val="32"/>
          <w:szCs w:val="32"/>
          <w:shd w:val="clear" w:color="auto" w:fill="FFFFFF"/>
        </w:rPr>
        <w:t>五</w:t>
      </w:r>
      <w:r>
        <w:rPr>
          <w:rFonts w:ascii="仿宋_GB2312" w:eastAsia="仿宋_GB2312"/>
          <w:color w:val="000000"/>
          <w:sz w:val="32"/>
          <w:szCs w:val="32"/>
          <w:shd w:val="clear" w:color="auto" w:fill="FFFFFF"/>
        </w:rPr>
        <w:t>是支持农业农村经济稳定发展和农民持续增收。</w:t>
      </w:r>
      <w:r>
        <w:rPr>
          <w:rFonts w:hint="eastAsia" w:ascii="仿宋_GB2312" w:eastAsia="仿宋_GB2312"/>
          <w:color w:val="000000"/>
          <w:sz w:val="32"/>
          <w:szCs w:val="32"/>
          <w:shd w:val="clear" w:color="auto" w:fill="FFFFFF"/>
        </w:rPr>
        <w:t>其中，</w:t>
      </w:r>
      <w:r>
        <w:rPr>
          <w:rFonts w:ascii="仿宋_GB2312" w:eastAsia="仿宋_GB2312"/>
          <w:color w:val="000000"/>
          <w:sz w:val="32"/>
          <w:szCs w:val="32"/>
          <w:shd w:val="clear" w:color="auto" w:fill="FFFFFF"/>
        </w:rPr>
        <w:t>兑现耕地地力保护补贴资金（粮食直补、农资综合直补、良种补贴）</w:t>
      </w:r>
      <w:r>
        <w:rPr>
          <w:rFonts w:hint="eastAsia" w:ascii="仿宋_GB2312" w:eastAsia="仿宋_GB2312"/>
          <w:color w:val="000000"/>
          <w:sz w:val="32"/>
          <w:szCs w:val="32"/>
          <w:shd w:val="clear" w:color="auto" w:fill="FFFFFF"/>
        </w:rPr>
        <w:t>196</w:t>
      </w:r>
      <w:r>
        <w:rPr>
          <w:rFonts w:ascii="仿宋_GB2312" w:eastAsia="仿宋_GB2312"/>
          <w:color w:val="000000"/>
          <w:sz w:val="32"/>
          <w:szCs w:val="32"/>
          <w:shd w:val="clear" w:color="auto" w:fill="FFFFFF"/>
        </w:rPr>
        <w:t>万元</w:t>
      </w:r>
      <w:r>
        <w:rPr>
          <w:rFonts w:hint="eastAsia" w:ascii="仿宋_GB2312" w:eastAsia="仿宋_GB2312"/>
          <w:color w:val="000000"/>
          <w:sz w:val="32"/>
          <w:szCs w:val="32"/>
          <w:shd w:val="clear" w:color="auto" w:fill="FFFFFF"/>
        </w:rPr>
        <w:t>、</w:t>
      </w:r>
      <w:r>
        <w:rPr>
          <w:rFonts w:ascii="仿宋_GB2312" w:eastAsia="仿宋_GB2312"/>
          <w:color w:val="000000"/>
          <w:sz w:val="32"/>
          <w:szCs w:val="32"/>
          <w:shd w:val="clear" w:color="auto" w:fill="FFFFFF"/>
        </w:rPr>
        <w:t>惠及全</w:t>
      </w:r>
      <w:r>
        <w:rPr>
          <w:rFonts w:hint="eastAsia" w:ascii="仿宋_GB2312" w:eastAsia="仿宋_GB2312"/>
          <w:color w:val="000000"/>
          <w:sz w:val="32"/>
          <w:szCs w:val="32"/>
          <w:shd w:val="clear" w:color="auto" w:fill="FFFFFF"/>
        </w:rPr>
        <w:t>区9048</w:t>
      </w:r>
      <w:r>
        <w:rPr>
          <w:rFonts w:ascii="仿宋_GB2312" w:eastAsia="仿宋_GB2312"/>
          <w:color w:val="000000"/>
          <w:sz w:val="32"/>
          <w:szCs w:val="32"/>
          <w:shd w:val="clear" w:color="auto" w:fill="FFFFFF"/>
        </w:rPr>
        <w:t>户农户</w:t>
      </w:r>
      <w:r>
        <w:rPr>
          <w:rFonts w:hint="eastAsia" w:ascii="仿宋_GB2312" w:eastAsia="仿宋_GB2312"/>
          <w:color w:val="000000"/>
          <w:sz w:val="32"/>
          <w:szCs w:val="32"/>
          <w:shd w:val="clear" w:color="auto" w:fill="FFFFFF"/>
        </w:rPr>
        <w:t>，支持农村公益事业发展资金206</w:t>
      </w:r>
      <w:r>
        <w:rPr>
          <w:rFonts w:ascii="仿宋_GB2312" w:eastAsia="仿宋_GB2312"/>
          <w:color w:val="000000"/>
          <w:sz w:val="32"/>
          <w:szCs w:val="32"/>
          <w:shd w:val="clear" w:color="auto" w:fill="FFFFFF"/>
        </w:rPr>
        <w:t>万元</w:t>
      </w:r>
      <w:r>
        <w:rPr>
          <w:rFonts w:hint="eastAsia" w:ascii="仿宋_GB2312" w:eastAsia="仿宋_GB2312"/>
          <w:color w:val="000000"/>
          <w:sz w:val="32"/>
          <w:szCs w:val="32"/>
          <w:shd w:val="clear" w:color="auto" w:fill="FFFFFF"/>
        </w:rPr>
        <w:t>，</w:t>
      </w:r>
      <w:r>
        <w:rPr>
          <w:rFonts w:ascii="仿宋_GB2312" w:eastAsia="仿宋_GB2312"/>
          <w:color w:val="000000"/>
          <w:sz w:val="32"/>
          <w:szCs w:val="32"/>
          <w:shd w:val="clear" w:color="auto" w:fill="FFFFFF"/>
        </w:rPr>
        <w:t>扶贫</w:t>
      </w:r>
      <w:r>
        <w:rPr>
          <w:rFonts w:hint="eastAsia" w:ascii="仿宋_GB2312" w:eastAsia="仿宋_GB2312"/>
          <w:color w:val="000000"/>
          <w:sz w:val="32"/>
          <w:szCs w:val="32"/>
          <w:shd w:val="clear" w:color="auto" w:fill="FFFFFF"/>
        </w:rPr>
        <w:t>资金550</w:t>
      </w:r>
      <w:r>
        <w:rPr>
          <w:rFonts w:ascii="仿宋_GB2312" w:eastAsia="仿宋_GB2312"/>
          <w:color w:val="000000"/>
          <w:sz w:val="32"/>
          <w:szCs w:val="32"/>
          <w:shd w:val="clear" w:color="auto" w:fill="FFFFFF"/>
        </w:rPr>
        <w:t>万元</w:t>
      </w:r>
      <w:r>
        <w:rPr>
          <w:rFonts w:hint="eastAsia" w:ascii="仿宋_GB2312" w:eastAsia="仿宋_GB2312"/>
          <w:color w:val="000000"/>
          <w:sz w:val="32"/>
          <w:szCs w:val="32"/>
          <w:shd w:val="clear" w:color="auto" w:fill="FFFFFF"/>
        </w:rPr>
        <w:t>，农业结构调整及农机购置补贴61万元</w:t>
      </w:r>
      <w:r>
        <w:rPr>
          <w:rFonts w:ascii="仿宋_GB2312" w:eastAsia="仿宋_GB2312"/>
          <w:color w:val="000000"/>
          <w:sz w:val="32"/>
          <w:szCs w:val="32"/>
          <w:shd w:val="clear" w:color="auto" w:fill="FFFFFF"/>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坚持科学理财，财政改革迈出新步伐。深入推进财政各项改革，狠抓财政资金使用绩效，坚持改革与监管并行，着力提高财政管理科学化精细化水平。一是深化预算体制改革。完善预算编制体系，细化预算编制内容，切实减少财政代编，着力提高部门预算年初到位率；树立绩效预算理念，探索财政资金使用绩效与预算安排挂钩；加大财政预、决算信息公开力度，全部各部门预决算和“三公”经费决算全部范围；强化预算执行管理，大力压减预算追加，预算约束力不断增强。二是深入推进国库集中支付和税收制度改革。</w:t>
      </w:r>
      <w:r>
        <w:rPr>
          <w:rFonts w:hint="eastAsia" w:ascii="仿宋_GB2312" w:hAnsi="仿宋_GB2312" w:eastAsia="仿宋_GB2312" w:cs="仿宋_GB2312"/>
          <w:color w:val="000000"/>
          <w:sz w:val="32"/>
          <w:szCs w:val="32"/>
          <w:shd w:val="clear" w:color="auto" w:fill="FFFFFF"/>
        </w:rPr>
        <w:t>财政集中支付中，直接支付和授权支付比例分别为51.7%、48.3%，财政支付的质量和效率显著提高。实施动态监控系统，拒付各类不合理的支出28笔、27万元，资金支付进一步规范。深入推进公务卡制度改革，所有强制目录内的公务活动全部进行刷卡消费，累计刷卡67万元。</w:t>
      </w:r>
      <w:r>
        <w:rPr>
          <w:rFonts w:hint="eastAsia" w:ascii="仿宋_GB2312" w:hAnsi="仿宋_GB2312" w:eastAsia="仿宋_GB2312" w:cs="仿宋_GB2312"/>
          <w:sz w:val="32"/>
          <w:szCs w:val="32"/>
        </w:rPr>
        <w:t>稳步实施非税收入电子改革，推进营改增等税制改革。三是强化资金绩效管理。</w:t>
      </w:r>
      <w:r>
        <w:rPr>
          <w:rFonts w:hint="eastAsia" w:ascii="仿宋_GB2312" w:hAnsi="仿宋_GB2312" w:eastAsia="仿宋_GB2312" w:cs="仿宋_GB2312"/>
          <w:color w:val="000000"/>
          <w:sz w:val="32"/>
          <w:szCs w:val="32"/>
          <w:shd w:val="clear" w:color="auto" w:fill="FFFFFF"/>
        </w:rPr>
        <w:t>加强支出管理，严控一般性行政支出，“三公”经费及会议经费分别下降了37.5%、5.7%，压缩行政成本取得较好效果。</w:t>
      </w:r>
      <w:r>
        <w:rPr>
          <w:rFonts w:hint="eastAsia" w:ascii="仿宋_GB2312" w:hAnsi="仿宋_GB2312" w:eastAsia="仿宋_GB2312" w:cs="仿宋_GB2312"/>
          <w:sz w:val="32"/>
          <w:szCs w:val="32"/>
        </w:rPr>
        <w:t>盘活财政存量资金，强化专项资金整合，累计消化财政结转结余存量资金9250万元；强化政府债务管控，严格债务限额管理，全年新增政府债券7442万元，置换存量政府债务12313万元，年末政府债务余额28293万元，继续保持绿色可控；注重审计结果运用，狠抓财政监督检查，继续开展财政资金安全检查和会计监督检查，</w:t>
      </w:r>
      <w:r>
        <w:rPr>
          <w:rFonts w:hint="eastAsia" w:ascii="仿宋_GB2312" w:hAnsi="仿宋_GB2312" w:eastAsia="仿宋_GB2312" w:cs="仿宋_GB2312"/>
          <w:color w:val="000000"/>
          <w:sz w:val="32"/>
          <w:szCs w:val="32"/>
          <w:shd w:val="clear" w:color="auto" w:fill="FFFFFF"/>
        </w:rPr>
        <w:t>开展小金库及侵害群众利益的不正之风和腐败问题专项检查，确保专款专用，切实提高资金使用效益和</w:t>
      </w:r>
      <w:r>
        <w:rPr>
          <w:rFonts w:hint="eastAsia" w:ascii="仿宋_GB2312" w:hAnsi="仿宋_GB2312" w:eastAsia="仿宋_GB2312" w:cs="仿宋_GB2312"/>
          <w:sz w:val="32"/>
          <w:szCs w:val="32"/>
        </w:rPr>
        <w:t>财政财务管理水平。</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F61689"/>
    <w:rsid w:val="44F616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2017-11-09T04:37:00Z</dcterms:created>
  <dc:creator>Administrator</dc:creator>
  <cp:lastModifiedBy>Administrator</cp:lastModifiedBy>
  <dcterms:modified xsi:type="dcterms:W3CDTF">2017-11-09T04:38:42Z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