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560" w:lineRule="exact"/>
        <w:jc w:val="center"/>
        <w:rPr>
          <w:rFonts w:hint="eastAsia" w:ascii="仿宋_GB2312" w:hAnsi="宋体" w:eastAsia="仿宋_GB2312" w:cs="宋体"/>
          <w:color w:val="4E4E4E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宋体"/>
          <w:color w:val="4E4E4E"/>
          <w:kern w:val="0"/>
          <w:sz w:val="44"/>
          <w:szCs w:val="44"/>
          <w:lang w:val="en-US" w:eastAsia="zh-CN"/>
        </w:rPr>
        <w:t>本级汇总的一般公共预算“三公”经费决算执行情况说明</w:t>
      </w:r>
    </w:p>
    <w:bookmarkEnd w:id="0"/>
    <w:p>
      <w:pPr>
        <w:numPr>
          <w:numId w:val="0"/>
        </w:numPr>
        <w:spacing w:line="560" w:lineRule="exact"/>
        <w:rPr>
          <w:rFonts w:hint="eastAsia" w:ascii="仿宋_GB2312" w:hAnsi="宋体" w:eastAsia="仿宋_GB2312" w:cs="宋体"/>
          <w:color w:val="4E4E4E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color w:val="4E4E4E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4E4E4E"/>
          <w:kern w:val="0"/>
          <w:sz w:val="32"/>
          <w:szCs w:val="32"/>
          <w:lang w:val="en-US" w:eastAsia="zh-CN"/>
        </w:rPr>
        <w:t xml:space="preserve">    2016年度本级汇总的一般公共预算“三公”经费决算执行情况总计522.8万元，上年同期为836.5万元，减少了313.7万元，减少的原因一是公车改革，车辆经费减少，公务用车购置费减少。二是全区各单位认真贯彻落实中央八项规定，历行接约，严格控制支出的结果。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32958"/>
    <w:rsid w:val="4E5329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2017-11-09T04:38:00Z</dcterms:created>
  <dc:creator>Administrator</dc:creator>
  <cp:lastModifiedBy>Administrator</cp:lastModifiedBy>
  <dcterms:modified xsi:type="dcterms:W3CDTF">2017-11-09T04:39:52Z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