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举借债务情况说明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</w:rPr>
        <w:t>截至2016年底，我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</w:rPr>
        <w:t>2016年政府债务限额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val="en-US" w:eastAsia="zh-CN"/>
        </w:rPr>
        <w:t xml:space="preserve"> 28293万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eastAsia="zh-CN"/>
        </w:rPr>
        <w:t>其中：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</w:rPr>
        <w:t>一般债务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val="en-US" w:eastAsia="zh-CN"/>
        </w:rPr>
        <w:t>24293万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</w:rPr>
        <w:t>元，专项债务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val="en-US" w:eastAsia="zh-CN"/>
        </w:rPr>
        <w:t>4000万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44C7B"/>
    <w:rsid w:val="1AB44C7B"/>
    <w:rsid w:val="5CE501E9"/>
    <w:rsid w:val="600A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2017-11-09T04:35:00Z</dcterms:created>
  <dc:creator>Administrator</dc:creator>
  <cp:lastModifiedBy>Administrator</cp:lastModifiedBy>
  <dcterms:modified xsi:type="dcterms:W3CDTF">2017-11-17T04:44:42Z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